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PERIOD-JANUARY  1ST TO JANUARY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 SAYID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7/1/2017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Croup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17/1/2017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Submersion Injury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21/1/2017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Specific poisons : organophosphate insecticides/button battery ingestion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RIYAZ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Suppurative lung disease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Hypothermia in newborn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18/1/2017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GIT bleeding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24/1/2017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Snake bite envenomation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31/1/2017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General approach Management of shock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VEENA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10/1/2017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GERD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25/1/2017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Scorpion sting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NAVEEN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11/1/2017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Traumatic Head injury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28/1/2017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Anaphylaxis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DIVYA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Burns in children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IX TH semester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